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BA1B" w14:textId="77777777" w:rsidR="00000000" w:rsidRDefault="00000000">
      <w:pPr>
        <w:pStyle w:val="NormalWeb"/>
        <w:jc w:val="right"/>
        <w:divId w:val="1941598040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13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64337672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553EF0C" w14:textId="77777777" w:rsidR="00000000" w:rsidRDefault="00000000">
      <w:pPr>
        <w:pStyle w:val="vhc"/>
        <w:divId w:val="1941598040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20066DF6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1B53E99" w14:textId="77777777" w:rsidR="00000000" w:rsidRDefault="00000000">
      <w:pPr>
        <w:pStyle w:val="vhc"/>
        <w:divId w:val="1941598040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ՄԻՆՉԵՎ 200մ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ՄԱԿԵՐԵՍՈՎ ԱՐՏԱԴՐԱԿԱՆ ԿԱԶՄԱԿԵՐՊՈՒԹՅՈՒՆՆԵՐԻ ՀԱՄԱՐ</w:t>
      </w:r>
    </w:p>
    <w:p w14:paraId="112F5152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1909"/>
        <w:gridCol w:w="2011"/>
      </w:tblGrid>
      <w:tr w:rsidR="00000000" w14:paraId="0C44B710" w14:textId="77777777">
        <w:trPr>
          <w:divId w:val="1941598040"/>
          <w:tblCellSpacing w:w="0" w:type="dxa"/>
        </w:trPr>
        <w:tc>
          <w:tcPr>
            <w:tcW w:w="0" w:type="auto"/>
            <w:vAlign w:val="center"/>
            <w:hideMark/>
          </w:tcPr>
          <w:p w14:paraId="5F4F732E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0294F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1A6941" w14:textId="77777777" w:rsidR="00000000" w:rsidRDefault="0000000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000000" w14:paraId="178842D6" w14:textId="77777777">
        <w:trPr>
          <w:divId w:val="1941598040"/>
          <w:tblCellSpacing w:w="0" w:type="dxa"/>
        </w:trPr>
        <w:tc>
          <w:tcPr>
            <w:tcW w:w="0" w:type="auto"/>
            <w:vAlign w:val="center"/>
            <w:hideMark/>
          </w:tcPr>
          <w:p w14:paraId="432F89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11AC5FD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1CE4FB4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000000" w14:paraId="4352CC75" w14:textId="77777777">
        <w:trPr>
          <w:divId w:val="1941598040"/>
          <w:tblCellSpacing w:w="0" w:type="dxa"/>
        </w:trPr>
        <w:tc>
          <w:tcPr>
            <w:tcW w:w="0" w:type="auto"/>
            <w:vAlign w:val="center"/>
            <w:hideMark/>
          </w:tcPr>
          <w:p w14:paraId="6178CB2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15A47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6E25A9F8" w14:textId="77777777">
        <w:trPr>
          <w:divId w:val="1941598040"/>
          <w:tblCellSpacing w:w="0" w:type="dxa"/>
        </w:trPr>
        <w:tc>
          <w:tcPr>
            <w:tcW w:w="0" w:type="auto"/>
            <w:vAlign w:val="center"/>
            <w:hideMark/>
          </w:tcPr>
          <w:p w14:paraId="5A7A87E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9BDB71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007D0081" w14:textId="77777777">
        <w:trPr>
          <w:divId w:val="1941598040"/>
          <w:tblCellSpacing w:w="0" w:type="dxa"/>
        </w:trPr>
        <w:tc>
          <w:tcPr>
            <w:tcW w:w="0" w:type="auto"/>
            <w:vAlign w:val="center"/>
            <w:hideMark/>
          </w:tcPr>
          <w:p w14:paraId="35F68D4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968BC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72B96B5A" w14:textId="77777777">
        <w:trPr>
          <w:divId w:val="1941598040"/>
          <w:tblCellSpacing w:w="0" w:type="dxa"/>
        </w:trPr>
        <w:tc>
          <w:tcPr>
            <w:tcW w:w="0" w:type="auto"/>
            <w:vAlign w:val="center"/>
            <w:hideMark/>
          </w:tcPr>
          <w:p w14:paraId="5688F29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ED028C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000000" w14:paraId="2CD06F10" w14:textId="77777777">
        <w:trPr>
          <w:divId w:val="194159804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E584EB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________________________________________________________________</w:t>
            </w:r>
          </w:p>
        </w:tc>
      </w:tr>
      <w:tr w:rsidR="00000000" w14:paraId="1613FD4D" w14:textId="77777777">
        <w:trPr>
          <w:divId w:val="194159804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3419593" w14:textId="77777777" w:rsidR="00000000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000000" w14:paraId="6DB2F207" w14:textId="77777777">
        <w:trPr>
          <w:divId w:val="194159804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000000" w14:paraId="2DBD4551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E91EBC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4CC8C5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BF096E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D98EF6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4E5095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76161B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3AE992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1F3EE9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5118F1A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4FB09C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000000" w14:paraId="45AE0370" w14:textId="77777777">
        <w:trPr>
          <w:divId w:val="194159804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4FBF57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5104F16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000000" w14:paraId="771CE528" w14:textId="77777777">
        <w:trPr>
          <w:divId w:val="194159804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FC6C5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4799EC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000000" w14:paraId="745F60D6" w14:textId="77777777">
        <w:trPr>
          <w:divId w:val="194159804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A90141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000000" w14:paraId="13CA4363" w14:textId="77777777">
        <w:trPr>
          <w:divId w:val="194159804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A12F19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______________________________________________________________________</w:t>
            </w:r>
          </w:p>
        </w:tc>
      </w:tr>
    </w:tbl>
    <w:p w14:paraId="5187DC2B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4164818" w14:textId="77777777" w:rsidR="00000000" w:rsidRDefault="00000000">
      <w:pPr>
        <w:pStyle w:val="vhc"/>
        <w:divId w:val="1941598040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ՄԻՆՉԵՎ 200մ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ՄԱԿԵՐԵՍՈՎ ԱՐՏԱԴՐԱԿԱՆ ԿԱԶՄԱԿԵՐՊՈՒԹՅՈՒՆՆԵՐԻ ՀԱՄԱՐ</w:t>
      </w:r>
    </w:p>
    <w:p w14:paraId="45D89ED4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"/>
        <w:gridCol w:w="2119"/>
        <w:gridCol w:w="381"/>
        <w:gridCol w:w="301"/>
        <w:gridCol w:w="424"/>
        <w:gridCol w:w="1056"/>
        <w:gridCol w:w="909"/>
        <w:gridCol w:w="872"/>
        <w:gridCol w:w="671"/>
      </w:tblGrid>
      <w:tr w:rsidR="00000000" w14:paraId="55873DD7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20A4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NN</w:t>
            </w:r>
            <w:r>
              <w:rPr>
                <w:rFonts w:eastAsia="Times New Roman"/>
                <w:sz w:val="15"/>
                <w:szCs w:val="15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00DE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2D3F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9FA7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AF51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8190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Կշիռ 10 բալանի համակարգով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47CC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Հղումներ նորմատիվ 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2CAD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Ստուգման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C3B9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Մեկնա-</w:t>
            </w:r>
            <w:r>
              <w:rPr>
                <w:rFonts w:eastAsia="Times New Roman"/>
                <w:sz w:val="15"/>
                <w:szCs w:val="15"/>
              </w:rPr>
              <w:br/>
              <w:t>բանու-</w:t>
            </w:r>
            <w:r>
              <w:rPr>
                <w:rFonts w:eastAsia="Times New Roman"/>
                <w:sz w:val="15"/>
                <w:szCs w:val="15"/>
              </w:rPr>
              <w:br/>
              <w:t>թյուն</w:t>
            </w:r>
          </w:p>
        </w:tc>
      </w:tr>
      <w:tr w:rsidR="00000000" w14:paraId="55DCAFC8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05C321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BFAF6D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000000" w14:paraId="3EE70433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7A6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486B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Շինարարական հիմնատարրերը մշակված (տոգորված) են հրապաշտպան լուծույթով կամ պատվածքով և գտնվում են մշակման (տոգորման) ներգործության ժամկետների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1681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2D7A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7FC5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81A7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C8CB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275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332F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5F5EF65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8E3A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36B2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Նկուղային (ցոկոլային) հարկերում լուսամուտային խորշերը խուլ փակված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32C1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FFFB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11B1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A245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1F52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6AC3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891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19E0BC72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DC85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B72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Սանդղաբազուկների տակ գտնվող տարածքները ազատ </w:t>
            </w:r>
            <w:r>
              <w:rPr>
                <w:rFonts w:eastAsia="Times New Roman"/>
                <w:sz w:val="15"/>
                <w:szCs w:val="15"/>
              </w:rPr>
              <w:lastRenderedPageBreak/>
              <w:t>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4312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E75C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9B14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3DEE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ABDB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I, գլուխ 3, </w:t>
            </w:r>
            <w:r>
              <w:rPr>
                <w:rFonts w:eastAsia="Times New Roman"/>
                <w:sz w:val="15"/>
                <w:szCs w:val="15"/>
              </w:rPr>
              <w:lastRenderedPageBreak/>
              <w:t>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C52F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6DC5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C7B0CD6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A210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1EB8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Բացառությամբ հատուկ նշանակության սենքերի մնացած լուսամուտները ազատ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64A2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884E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F629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712E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DEB8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3, կետ 31, ենթակետ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1ADA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FB33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14AD7EF7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84F0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B842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Բնակելի, հասարակական և արտադրական նշանակության շենքերից և շինություններից մինչև արտադրական կազմակերպությունները նվազագույն հակահրդեհային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974C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1E15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F9C4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B346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6EAE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«3», կետ 510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E675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EB90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I*</w:t>
            </w:r>
          </w:p>
        </w:tc>
      </w:tr>
      <w:tr w:rsidR="00000000" w14:paraId="00FB3D9B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C84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01F8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Ավտոմոբիլային մուտքի դարպասների լայնությունը պակաս չէ 4,5 մետրից: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5B1F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A29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79D6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DE21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7616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«2», կետ 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0661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A3B2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7CEA4B6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17703E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DDD8F4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Արտադրական կազմակերպություններ</w:t>
            </w:r>
          </w:p>
        </w:tc>
      </w:tr>
      <w:tr w:rsidR="00000000" w14:paraId="1E30F6FC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18EA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A101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Արտադրական շինությունների վրայով այրվող, վառունակ հեղուկների, դյուրավառ փոշիների, այրվող գազերի փոխադրման խողովակաշարերի տարանցումը բացառվում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7BBB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8227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FB6D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5BD4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C2E8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III, գլուխ 16, կետ 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1DF0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64EF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5726C7BC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FE86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4975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Պայթյունահրդեհավտանգ տեղամասերում, շինություններում, արտադրամասերում աշխատանքները կատարվում են կայծ չառաջացնող նյութերից (գունավոր մետաղներ) պատրաստված կամ պայթյունաանվտանգության պահանջներին համապատասխանող գործիքներով: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F5E4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0393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087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E445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1DD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III, գլուխ 16, կետ 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573F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F4AD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II*</w:t>
            </w:r>
          </w:p>
        </w:tc>
      </w:tr>
      <w:tr w:rsidR="00000000" w14:paraId="1284ED79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968E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9B46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Աշխատատեղերին այրվող, դյուրավառ հեղուկների մատակարարումը կատարվում է կենտրոնացված ձևով: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A37B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7798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F513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C9FC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955A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III, գլուխ 16, կետ 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6C2E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FE15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536B9E9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7022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9E7F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Աշխատատեղերին ոչ մեծ քանակության այրվող, դյուրավառ հեղուկների մատակարարումը կատարվում է անվտանգ (չկոտրվող, չպատռվող) տարայով: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57E4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A01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8E25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0F22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6E9B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III, գլուխ 16, կետ 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0A44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B751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751189C7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6E3F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4E0D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Պատերի, առաստաղների տեխնոլոգիական անցքերը պաշտպանված են հրապատնեշող սարքերով: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2449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F10D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56E0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AFAA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EB90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III, գլուխ 16, կետ 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D0BA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4AB6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4D2C304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F89E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B6C5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Թմբուկավոր չորանոցները, չոր տաշեղների և փոշու բունկերները, ունեն հրդեհաշիջման ինքնաշխատ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9241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B88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3710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2DA3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BAD8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III, գլուխ 16, կետ 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C093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9D37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5CEF3526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0462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D80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Թմբուկավոր չորանոցները, չոր տաշեղների և փոշու բունկերները, ունեն պայթյունը կանխարգելող սարքավորումներ: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C80C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50BE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6DD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1709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8F11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III, գլուխ 16, կետ 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543C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666B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23161411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D54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038B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Գազային և օդագոլորշային խցիկների ներհոսման ու արտաձգիչ օդանցքները սարքավորված են հատուկ սահափականներով (ձգափականներով):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9CD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72A2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883D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6A40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E662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III, գլուխ 16, կետ 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901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4EAF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5138A135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10C94F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III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ABB887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Տարահանման ճանապարհներ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76F3B0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255C7328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D5F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18A2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Տարահանման ճանապարհների պատերը և </w:t>
            </w:r>
            <w:r>
              <w:rPr>
                <w:rFonts w:eastAsia="Times New Roman"/>
                <w:sz w:val="15"/>
                <w:szCs w:val="15"/>
              </w:rPr>
              <w:lastRenderedPageBreak/>
              <w:t>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E83B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FD32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3762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77AF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66C8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I, գլուխ 3, </w:t>
            </w:r>
            <w:r>
              <w:rPr>
                <w:rFonts w:eastAsia="Times New Roman"/>
                <w:sz w:val="15"/>
                <w:szCs w:val="15"/>
              </w:rPr>
              <w:lastRenderedPageBreak/>
              <w:t>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DE2A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D5E0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590638C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A85B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9BD6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Տարահանման ճանապարհները ազատ են` ապահովված է մարդկանց անարգել տեղաշարժը: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45AD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E6B1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FEC0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FE1F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C13B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I, գլուխ 3, կետ 41, ենթակետ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C8D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D285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5919C50E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7CD9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6407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Տարահանման ելքերի դռները բացվում են դեպի դուրս: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3FA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4E32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BA90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1866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D20A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I, գլուխ 3, կետ 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AE31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7A2B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16AE8FE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998F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EA86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Շենքից տարահանման ելքերի քանակը պակաս չէ երկուսից, եթե դրանում տեղավորված են սենքեր, որոնք պետք է ունենան ոչ պակաս քան տարահանման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0563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9003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9C4D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2942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965C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2F23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3F1A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III*</w:t>
            </w:r>
          </w:p>
        </w:tc>
      </w:tr>
      <w:tr w:rsidR="00000000" w14:paraId="16E43F49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910D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80DA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Տարահանման երկու և ավելի ելքերի առկայության դեպքում դրանք տեղակայված են ապակենտրոնացված: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FB2B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8703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60EB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EDAB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8A73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2FC6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A1A6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D8EDC0A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C80C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5210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Նկուղային (ցոկոլային) հարկերից, որի սենքում օգտագործվում կամ պահվում են այրվող նյութեր, առաջին հարկի սենքեր տանող սանդուղքների առջև կառուցված են հրդեհի դեպքում օդի ճնշումով նախամուտք-անցախցեր: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179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215E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F0A0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F55A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4BAB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C8F7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7D76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238E3DA6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C34C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1017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Սանդղավանդակների բնական լուսավորությունը ապահովված է արտաքին պատին սարքավորված 1,2մ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  <w:r>
              <w:rPr>
                <w:rFonts w:eastAsia="Times New Roman"/>
                <w:sz w:val="15"/>
                <w:szCs w:val="15"/>
              </w:rPr>
              <w:t xml:space="preserve"> մակերեսով պատուհանների միջոցով: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2304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241C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11A4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9B9C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8288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6E5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637F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0B0D7C3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FDC4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1770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Առանց մշտական աշխատատեղերի, ինժեներական սարքավորանքի սպասարկման համար նախատեսված «Ա», «Բ» հրդեհապայթյունավտանգ կարգի սենքերի ամենահեռավոր կետից մինչև մոտակա ելքը հեռավորությունը չի գերազանցում 25մ: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FA04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BD1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776B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1E15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E631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«6», կետ 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BD1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DEBE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43C494E1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B52268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799E2A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Էլեկտրասարքավորումներին ներկայացվող հրդեհային անվտանգության պահանջներ</w:t>
            </w:r>
          </w:p>
        </w:tc>
      </w:tr>
      <w:tr w:rsidR="00000000" w14:paraId="032B56CC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04CE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26F7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Հրդեհավտանգ հիմնատարրերով տանիքների, վրայով օդային էլեկտրահաղորդման 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A06C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22FF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721B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58DE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091C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5837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155F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1353822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D8BF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FD4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Գերծանրաբեռնվածության և կարճ միացման հոսանքներից պաշտպանելու համար չեն օգտագործվում ոչ ստանդարտ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F066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58C8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D4BE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679A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591C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4, կետ 48, ենթակետ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622D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253C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5307C3B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762B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2013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43C9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568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4C85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78F1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885F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8729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1734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2B9C11B6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AAC9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AF4F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Տարահանման ճանապարհներին մոնտաժված են վթարային լուսավորության 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3993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9C0C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4639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C4EA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301A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հավելված 1, գլուխ 2, կետ 10, «8», գլուխ 6, կետեր 208, 212,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2AC4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8B09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36079EF1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0401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6BAE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Լուսատուներից մինչև այրվող նյութից պատրաստված կառուցվածքները և իրերը պահպանված է ոչ պակաս </w:t>
            </w:r>
            <w:r>
              <w:rPr>
                <w:rFonts w:eastAsia="Times New Roman"/>
                <w:sz w:val="15"/>
                <w:szCs w:val="15"/>
              </w:rPr>
              <w:lastRenderedPageBreak/>
              <w:t>քան 0,5 մետր հեռավորություն: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DB50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7418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9023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82BE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981C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4, կետ 52,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3A97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9511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294DBDC2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D694C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B95B5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000000" w14:paraId="3BF829CA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57F8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99BB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Վառարանային ջեռուցման սարքավորումների շահագործման ժամանակ ծխահեռացումը չի իրականացվում 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8384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4432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FC8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17F1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56A1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42B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AA49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F42BE7E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7FF6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ED8A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Կաթսայատներում հեղուկ վառելանյութ պահեստավորված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A79A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8CBB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CD89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EFFC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6B81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5, կետ 61,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0A1B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9E4F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78E89731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28F9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A4C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62B2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3643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8906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7E9D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319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2552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99B5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29FC9877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D1D0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0451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Ծխնելույզների մաքրումն իրականացվում է սահմանված ժամկետներում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6E37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00AF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27AC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E041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F6BE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գլուխ 5, կետ 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B415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6072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7CFE81A4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1E37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0756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Ծխահեռացման խողովակները բարձրացված են տանիքից վեր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5694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3C53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1D0A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F8D2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7319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«9», գլուխ 5, կետ 263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6439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B307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</w:tr>
      <w:tr w:rsidR="00000000" w14:paraId="79F98CCF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AC076E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49F2FC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Հակահրդեհային ջրամատակարարման ցանցեր</w:t>
            </w:r>
          </w:p>
        </w:tc>
      </w:tr>
      <w:tr w:rsidR="00000000" w14:paraId="0C9F5942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BCA0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2268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C63C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DA52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6E3A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74C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1B55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6620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CAD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3EA50867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FEE2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10CD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Արտաքին հրդեհաշիջման համար օբյեկտների տարածքում կամ դրանց մոտակայքում (200 մ շառավղով) նախատեսված է առնվազն 1 հրշեջ հիդրանտ կամ նվազագույնը 54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3</w:t>
            </w:r>
            <w:r>
              <w:rPr>
                <w:rFonts w:eastAsia="Times New Roman"/>
                <w:sz w:val="15"/>
                <w:szCs w:val="15"/>
              </w:rPr>
              <w:t xml:space="preserve"> 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65B7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EAE8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A5EE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70F3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0A32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«7», գլուխ 5, կետեր 29, 45, գլուխ 11, կետ 602 և գլուխ 12 կետ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EE82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CFEB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7240D8FB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C40214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34A3E3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Հրդեհի ազդանշանման և հրդեհաշիջման համակարգեր</w:t>
            </w:r>
          </w:p>
        </w:tc>
      </w:tr>
      <w:tr w:rsidR="00000000" w14:paraId="1B10A0E1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106B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E20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Կախված մակերեսի չափերից արտադրական կազմակերպությունները սարքավորված են հրդեհաշիջման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F3BE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A00B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905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1135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0B3A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7B6B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8C60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IV*</w:t>
            </w:r>
          </w:p>
        </w:tc>
      </w:tr>
      <w:tr w:rsidR="00000000" w14:paraId="1C918BD4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980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D188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Կախված մակերեսի չափերից արտադրական կազմակերպությունները սարքավորված են հրդեհի ազդանշանման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3315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97E5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0F3B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1EBE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4AB0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213C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D397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IV*</w:t>
            </w:r>
          </w:p>
        </w:tc>
      </w:tr>
      <w:tr w:rsidR="00000000" w14:paraId="657E047E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E0D7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6A88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Հակահրդեհային ինքնաշխատ համակարգերից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D16C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F4C7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58DA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9303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C80C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6473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6BD6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0E23D064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F465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9648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Հակահրդեհային ինքնաշխատ համակարգերը մոնտաժված են նորմերին 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22D0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5BF1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141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186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EAD6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E33F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D2AE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1CEC09A1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EFE321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8D48B2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Հրդեհաշիջման սկզբնական միջոցներ</w:t>
            </w:r>
          </w:p>
        </w:tc>
      </w:tr>
      <w:tr w:rsidR="00000000" w14:paraId="30AD6F7D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A158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8535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27AD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F471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75E6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C6FF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0A14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7603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2951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V*</w:t>
            </w:r>
          </w:p>
        </w:tc>
      </w:tr>
      <w:tr w:rsidR="00000000" w14:paraId="7C602B7E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ADEB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FA15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«Ա», «Բ», «Վ» կարգի շինություններում կրակմարիչները տեղադրված են հրդեհի հնարավոր </w:t>
            </w:r>
            <w:r>
              <w:rPr>
                <w:rFonts w:eastAsia="Times New Roman"/>
                <w:sz w:val="15"/>
                <w:szCs w:val="15"/>
              </w:rPr>
              <w:lastRenderedPageBreak/>
              <w:t>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D9F0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9FB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2D31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8C72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C62E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A316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6D46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223DD10F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0716F2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IX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AC1A75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Տեխնիկական անվտանգության ապահովում</w:t>
            </w:r>
          </w:p>
        </w:tc>
      </w:tr>
      <w:tr w:rsidR="00000000" w14:paraId="0FB1A477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9EA1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7472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2981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15EC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EE45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BDAB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18B8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«4», հոդված 19, մաս 1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34C2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C78C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  <w:tr w:rsidR="00000000" w14:paraId="63760495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F119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3B09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Արտադրական վտանգավոր օբյեկտում 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9802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6D52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B0ED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5C66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9CF1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«4»,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96AB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F900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 </w:t>
            </w:r>
          </w:p>
        </w:tc>
      </w:tr>
    </w:tbl>
    <w:p w14:paraId="419ABB5E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4"/>
        <w:gridCol w:w="2813"/>
      </w:tblGrid>
      <w:tr w:rsidR="00000000" w14:paraId="6A325A2E" w14:textId="77777777">
        <w:trPr>
          <w:divId w:val="1941598040"/>
          <w:tblCellSpacing w:w="0" w:type="dxa"/>
        </w:trPr>
        <w:tc>
          <w:tcPr>
            <w:tcW w:w="0" w:type="auto"/>
            <w:vAlign w:val="center"/>
            <w:hideMark/>
          </w:tcPr>
          <w:p w14:paraId="6812ECE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3918098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000000" w14:paraId="79D8CDD2" w14:textId="77777777">
        <w:trPr>
          <w:divId w:val="1941598040"/>
          <w:tblCellSpacing w:w="0" w:type="dxa"/>
        </w:trPr>
        <w:tc>
          <w:tcPr>
            <w:tcW w:w="0" w:type="auto"/>
            <w:vAlign w:val="center"/>
            <w:hideMark/>
          </w:tcPr>
          <w:p w14:paraId="28BA844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70A0E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000000" w14:paraId="2A854FCE" w14:textId="77777777">
        <w:trPr>
          <w:divId w:val="1941598040"/>
          <w:tblCellSpacing w:w="0" w:type="dxa"/>
        </w:trPr>
        <w:tc>
          <w:tcPr>
            <w:tcW w:w="0" w:type="auto"/>
            <w:vAlign w:val="center"/>
            <w:hideMark/>
          </w:tcPr>
          <w:p w14:paraId="0D5CFBA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302EE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57536887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7"/>
        <w:gridCol w:w="5856"/>
        <w:gridCol w:w="321"/>
        <w:gridCol w:w="321"/>
        <w:gridCol w:w="321"/>
      </w:tblGrid>
      <w:tr w:rsidR="00000000" w14:paraId="15EE95A8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E2F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8714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F557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E7C7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8B61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68ADB0EA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006D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2C0B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8144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DF16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2FCE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1BE2C226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8F04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6A38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BE2F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FA3D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CE46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653EDBE8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78744A6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5B616753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42C5BEE2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«2» - ՀՀՇՆ III-9.02-02-03 «Արդյունաբերական կազմակերպությունների գլխավոր հատակագծեր»</w:t>
      </w:r>
    </w:p>
    <w:p w14:paraId="3738B4E0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 xml:space="preserve">«3» - ՀՀՇՆ 30-01-2023 «Քաղաքաշինություն. Քաղաքային և գյուղական բնակավայրերի հատակագծում և կառուցապատում» </w:t>
      </w:r>
    </w:p>
    <w:p w14:paraId="157FC7E0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«4» - «Տեխնիկական անվտանգության ապահովման պետական կարգավորման մասին» ՀՀ օրենք ընդունված է 2005 թվականի հոկտեմբերի 24-ին</w:t>
      </w:r>
    </w:p>
    <w:p w14:paraId="62238F53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</w:t>
      </w:r>
    </w:p>
    <w:p w14:paraId="093E50C7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«6» - ՀՀՇՆ IV-11.03.01-04 «Արտադրական շենքեր»</w:t>
      </w:r>
    </w:p>
    <w:p w14:paraId="36AD8BCE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«7» - ՀՀՇՆ 40.01.02-2020 «Ջրամատակարարում. Արտաքին ցանցեր և կառուցվածքներ»</w:t>
      </w:r>
    </w:p>
    <w:p w14:paraId="3AD92970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«8» - ՀՀՇՆ 22-03-2017 «Արհեստական և բնական լուսավորում»</w:t>
      </w:r>
    </w:p>
    <w:p w14:paraId="38179218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«9» - ՀՀ կառավարության 2023 թ. ապրիլի 13-ի «Գազաբաշխման համակարգի անվտանգության և շահագործման կանոնները հաստատելու մասին» N 539-Ն որոշում»</w:t>
      </w:r>
    </w:p>
    <w:p w14:paraId="7B4C657A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CDDF374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I*- Բնակելի, հասարակական և արտադրական նշանակության շենքերից և շինություններից մինչև տարբեր նպատակային նշանակության պահեստները (բաց հարթակները) կախված շինության հրակայունության աստիճանից նորմերով պահանջվող հակահրդեհային միջտարածությունները.</w:t>
      </w:r>
    </w:p>
    <w:p w14:paraId="29D185FA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1"/>
        <w:gridCol w:w="1372"/>
        <w:gridCol w:w="1199"/>
        <w:gridCol w:w="1744"/>
      </w:tblGrid>
      <w:tr w:rsidR="00000000" w14:paraId="12666A9E" w14:textId="77777777">
        <w:trPr>
          <w:divId w:val="194159804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DA3A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հրակայունության աստիճանը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D3E9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շինության հրակայունության աստիճանից հեռավորությունը, մ,</w:t>
            </w:r>
          </w:p>
        </w:tc>
      </w:tr>
      <w:tr w:rsidR="00000000" w14:paraId="1AA5BEFB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4E15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6FFA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9C91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425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</w:tr>
      <w:tr w:rsidR="00000000" w14:paraId="083BC42C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C5CF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I,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6D83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11B6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445E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00000" w14:paraId="1CF308D9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17BC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6C9E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B79F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26ED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000000" w14:paraId="61772AEB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71F0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IV,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E6A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B35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A41B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</w:tr>
    </w:tbl>
    <w:p w14:paraId="33B670BC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90FB456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Շենքերի օրինակելի կոնստրուկտիվ բնութագրերը.</w:t>
      </w:r>
    </w:p>
    <w:p w14:paraId="6A86317D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27"/>
        <w:gridCol w:w="4919"/>
      </w:tblGrid>
      <w:tr w:rsidR="00000000" w14:paraId="23C8B933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5782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 կոնստրուկցիաների հրակայունության աստիճանը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E5D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Կոնստրուկտիվ բնութագրերը</w:t>
            </w:r>
          </w:p>
        </w:tc>
      </w:tr>
      <w:tr w:rsidR="00000000" w14:paraId="4389A4D3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5A22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9CC9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են` թերթավոր և սալիկային չայրվող նյութերի օգտագործմամբ:</w:t>
            </w:r>
          </w:p>
        </w:tc>
      </w:tr>
      <w:tr w:rsidR="00000000" w14:paraId="640FEE8B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51DC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5119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են, օգտագործվում են թերթավոր և սալիկային չայրվող շինանյութեր: Շենքերի ծածկերում կարելի է օգտագործել չպաշտպանված պողպատե կոնստրուկցիաներ:</w:t>
            </w:r>
          </w:p>
        </w:tc>
      </w:tr>
      <w:tr w:rsidR="00000000" w14:paraId="079F6D0B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F48E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C89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կամ պատող կոնստրուկցիաները բնական կամ արհեստական քարային, բետոնե կամ երկաթբետոնե շինանյութերից են: Միջհարկային ծածկերի համար կարելի է օգտագործել փայտե կոնստրուկցիաներ, պաշտպանված ծեփասվաղով կամ դժվար այրվող թիթեղային, ինչպես նաև սալիկային նյութերով: Ծածկի տարրերին հրակայունության և կրակի տարածման սահմանների վերաբերյալ պահանջներ չեն ներկայացնում, ընդ որում ձեղնահարկի ծածկի փայտե կոնստրուկցիաները ենթարկվում են կրակապաշտպան մշակման:</w:t>
            </w:r>
          </w:p>
        </w:tc>
      </w:tr>
      <w:tr w:rsidR="00000000" w14:paraId="6BE34AF6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7043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A1EF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որոնք հիմնականում ունեն կարկասային կոնստրուկտիվ սխեմա: Կարկասի տարրերը` պողպատե և այլ մետաղական անպաշտպան, ամբողջական կամ սոսնձային փայտանյութով և ուրիշ այրվող կամ դժվար այրվող նյութերով, որոնք կրակի և բարձր ջերմաստիճանի ազդեցությունից պաշտպանված են ծեփասվաղով կամ այլ չայրվող նյութերով: Պատող կոնստրուկցիաները` պողպատե պրոֆիլավորված թերթով կամ այլ չայրվող թերթավոր և դժվար այրվող ջերմամեկուսիչ նյութերից են: Ընդ որում, ձեղնահարկի փայտե կոնստրուկցիաները ենթարկվում են կրակապաշտպան մշակման:</w:t>
            </w:r>
          </w:p>
        </w:tc>
      </w:tr>
      <w:tr w:rsidR="00000000" w14:paraId="6B681BB8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FC0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6550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Շենքեր, որոնց կրող և պատող կոնստրուկցիաների հրակայունության և կրակի տարածման սահմանների նկատմամբ պահանջներ չեն ներկայացվում:</w:t>
            </w:r>
          </w:p>
        </w:tc>
      </w:tr>
    </w:tbl>
    <w:p w14:paraId="13FC5490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244CF62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II*- Շինությունների պայթյունահրդեհավտանգավորության կարգը.</w:t>
      </w:r>
    </w:p>
    <w:p w14:paraId="34D4CFD9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"/>
        <w:gridCol w:w="1729"/>
        <w:gridCol w:w="4922"/>
      </w:tblGrid>
      <w:tr w:rsidR="00000000" w14:paraId="6D2D8285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68B3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8104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5565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Շենքերում և սենքերում գտնվող նյութերի բնութագիր</w:t>
            </w:r>
          </w:p>
        </w:tc>
      </w:tr>
      <w:tr w:rsidR="00000000" w14:paraId="6D608704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5166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8A75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 պայթյու-</w:t>
            </w:r>
            <w:r>
              <w:rPr>
                <w:rFonts w:eastAsia="Times New Roman"/>
                <w:sz w:val="20"/>
                <w:szCs w:val="20"/>
              </w:rPr>
              <w:br/>
              <w:t>նահրդեհավտանգ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954A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C-ից ոչ ավել բռնկման ջերմաստիճան ունեցող այրվող գազեր, դյուրավառ հեղուկներ` այն քանակությամբ, որ կարող են ստեղծել պայթյունավտանգ օդագազագոլորշային խառնուրդներ, որոնց բռնկման ժամանակ շինությունում առաջանում է 5 կիլոպասկալը գերազանցող պայթյունի հաշվարկային ավելցուկային ճնշում: Ջրի, օդի, թթվածնի և միմյանց հետ փոխազդելիս պայթելու և այրվելու ընդունակ նյութեր այն քանակությամբ, երբ առաջանում է 5 կիլոպասկալը գերազանցող պայթյունի հաշվարկային ավելցուկային ճնշում:</w:t>
            </w:r>
          </w:p>
        </w:tc>
      </w:tr>
      <w:tr w:rsidR="00000000" w14:paraId="70DDA7DC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89F3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FBC4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«Բ» պայթյու-</w:t>
            </w:r>
            <w:r>
              <w:rPr>
                <w:rFonts w:eastAsia="Times New Roman"/>
                <w:sz w:val="20"/>
                <w:szCs w:val="20"/>
              </w:rPr>
              <w:br/>
              <w:t>նահրդեհավտանգ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76A8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C-ից ոչ ավել բռնկման ջերմաստիճան ունեցող այրվող փոշիներ կամ մանրաթելեր, այրվող հեղուկներ` այն քանակությամբ, որ կարող են ստեղծել պայթյունավտանգ փոշեօդային կամ օդագոլորշային խառնուրդներ, որոնց բռնկման ժամանակ շինությունում, առաջանում է 5 կիլոպասկալը գերազանցող պայթյունի հաշվարկային ավելցուկային ճնշում:</w:t>
            </w:r>
          </w:p>
        </w:tc>
      </w:tr>
      <w:tr w:rsidR="00000000" w14:paraId="39C6CF1D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D8A5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05F1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«Վ» հրդեհավտանգ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D573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Դյուրավառ, այրվող և դժվար այրվող հեղուկներ, կոշտ այրվող և դժվար այրվող նյութեր: Նյութեր, որոնք ընդունակ են միայն այրվել ջրի, օդի թթվածնի կամ միմյանց հետ փոխազդելիս, պայմանով, որ այն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շինությունները, որտեղ դրանք առկա են չեն պատկանում «Ա» կամ «Բ» կարգերին: </w:t>
            </w:r>
          </w:p>
        </w:tc>
      </w:tr>
      <w:tr w:rsidR="00000000" w14:paraId="69331FC3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45CF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FF40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«Գ»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1B17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Տաք, շիկացած կամ հալված վիճակում գտնվող չայրվող նյութեր, որոնց մշակումը ուղեկցվում է ճառագայթային ջերմություն, կայծի և բոցի անջատմամբ: Այրվող գազեր, հեղուկներ և կոշտ նյութեր, որոնք օգտագործվում են, որպես վառելանյութ:</w:t>
            </w:r>
          </w:p>
        </w:tc>
      </w:tr>
      <w:tr w:rsidR="00000000" w14:paraId="25B976E5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678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309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«Դ»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ADD5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Սառը վիճակում գտնվող չայրվող նյութեր:</w:t>
            </w:r>
          </w:p>
        </w:tc>
      </w:tr>
    </w:tbl>
    <w:p w14:paraId="5712FC71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E6B5F4F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III*-Ոչ պակաս քան տարահանման երկու ելք պետք է ունենան.</w:t>
      </w:r>
    </w:p>
    <w:p w14:paraId="48340E86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01E06B2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 xml:space="preserve">ա) տաս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 ննջարանային մասնաշենքերի սենքերը, </w:t>
      </w:r>
    </w:p>
    <w:p w14:paraId="6AF3903C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1CF14922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մակերեսով սենքերը,</w:t>
      </w:r>
    </w:p>
    <w:p w14:paraId="6F8F503A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6805A7B8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3C00385A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F7EADDB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IV*- Հրդեհաշիջման և հրդեհի ազդանշանման ինքնաշխատ համակարգերով օբյեկտների համալրման չափանիշներն են.</w:t>
      </w:r>
    </w:p>
    <w:p w14:paraId="69E0B09A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77"/>
        <w:gridCol w:w="1148"/>
        <w:gridCol w:w="1821"/>
      </w:tblGrid>
      <w:tr w:rsidR="00000000" w14:paraId="3F38C31E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4027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0BA5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000000" w14:paraId="546EAC6E" w14:textId="77777777">
        <w:trPr>
          <w:divId w:val="194159804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21BE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4799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9F45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000000" w14:paraId="70CA3023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9CC1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800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000000" w14:paraId="49F22204" w14:textId="77777777">
        <w:trPr>
          <w:divId w:val="194159804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5AD3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Այրելի պոլիմերային ջերմամեկուսիչներով և մետաղական թեթև կառուցատարրերով միահարկ շենքեր</w:t>
            </w:r>
          </w:p>
        </w:tc>
      </w:tr>
      <w:tr w:rsidR="00000000" w14:paraId="7BBD75B6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FDEE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Հացահատիկի պահպանման և վերամշակման համար շենքեր և շինություններ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7098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5501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 և հարկայնությունից</w:t>
            </w:r>
          </w:p>
        </w:tc>
      </w:tr>
      <w:tr w:rsidR="00000000" w14:paraId="4506BA45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9C9A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2.1. Հացաթխման, հացաբուլկեղենի արտադրամասեր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982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4289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33DF460F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4BB7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Արդյունաբերական և հասարակական շենքերի մալուխային շինություններ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97CC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3E9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և պակաս</w:t>
            </w:r>
          </w:p>
        </w:tc>
      </w:tr>
      <w:tr w:rsidR="00000000" w14:paraId="76AAFD0C" w14:textId="77777777">
        <w:trPr>
          <w:divId w:val="194159804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F7C9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Արդյունաբերական և հասարակական շենքերի համակցված թունելներ, որոնցում տեղակայվում են 220Վ և բարձր լարման մալուխներ և հաղորդալարեր, հետևյալ քանակով.</w:t>
            </w:r>
          </w:p>
        </w:tc>
      </w:tr>
      <w:tr w:rsidR="00000000" w14:paraId="42EBDD10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AB9E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4.1. 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և ավելի ծավալով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ADF8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 հատ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F487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5-ից մինչև 12 հատ</w:t>
            </w:r>
          </w:p>
        </w:tc>
      </w:tr>
      <w:tr w:rsidR="00000000" w14:paraId="53ED4FC8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C94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4.2. 100մ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-ից պակաս ծավալով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7CB4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D8F4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հատ և ավելի</w:t>
            </w:r>
          </w:p>
        </w:tc>
      </w:tr>
      <w:tr w:rsidR="00000000" w14:paraId="5A84497A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A9B1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Մալուխային թունելներ և ամբողջությամբ փակ ստորասրահներ (այդ թվում համակցված), անցկացված արդյունաբերական շենքերի միջև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C059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E411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</w:tr>
      <w:tr w:rsidR="00000000" w14:paraId="4D71DBAD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3AEA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 Քաղաքային մալուխային հավաքիչներ և թունելներ (այդ թվում համակցված)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014A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46E2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 և ծավալից</w:t>
            </w:r>
          </w:p>
        </w:tc>
      </w:tr>
      <w:tr w:rsidR="00000000" w14:paraId="12721728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5671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 Մալուխային կառույցներ, որտեղ անցկացված են մետաղական խողովակներով յուղալեցուն մալուխներ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FF4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7BAB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08A71260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20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 Հրդեհապայթյունավտանգավորության «Ա» և «Բ» կարգերի, որտեղ օգտագործվում են դյուրաբոցավառ և այրելի հեղուկներ, այրելի հեղուկացված գազեր, այրելի փոշիներ և թելքեր (բացառությամբ ավտոլցավորման կայանների (այդ թվում նաև բեռնարկղային տիպի), ինչպես նաև դրանց կազմում գտնվող խանութների, կրպակների ու տաղավարների և սենքերի, որոնք տեղակայված են հացահատիկի պահպանման և վերամշակման համար շենքերում և շինություններում)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C952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1DA7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0C6FBA11" w14:textId="77777777">
        <w:trPr>
          <w:divId w:val="194159804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8AC1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 Ալկալիական մետաղների առկայությամբ, դրանք հարկերում տեղակայման դեպքում.</w:t>
            </w:r>
          </w:p>
        </w:tc>
      </w:tr>
      <w:tr w:rsidR="00000000" w14:paraId="3CAD88A3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1D65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9.1.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9DD3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7831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13647743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FA94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9.2. Վերգետնյա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E27B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67B4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05412D2C" w14:textId="77777777">
        <w:trPr>
          <w:divId w:val="194159804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013B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 Հրդեհային վտանգավորության Վ1 կատեգորիայի (բացառությամբ սենքերի, որոնք տեղակայված են հացահատիկի պահպանման և վերամշակման շենքերում և շինություններում), դրանք հարկերում տեղակայման դեպքում.</w:t>
            </w:r>
          </w:p>
        </w:tc>
      </w:tr>
      <w:tr w:rsidR="00000000" w14:paraId="19C49DE8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EB4B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7D87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88D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390DA966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A9C1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10.2. Վերգետնյա հարկերում (բացառությամբ 35-42 կետերում թվարկվածների)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394F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5D94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1AAD0576" w14:textId="77777777">
        <w:trPr>
          <w:divId w:val="1941598040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88CC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 Հրդեհային վտանգավորության Վ2-Վ3 կատեգորիայի (բացառությամբ սույն հավելվածի 10-18 կետերում թվարկվածների և սենքերի, որոնք տեղակայված են հացահատիկի պահպանման և վերամշակման շենքերում և շինություններում), դրանք հարկերում տեղակայման դեպքում.</w:t>
            </w:r>
          </w:p>
        </w:tc>
      </w:tr>
      <w:tr w:rsidR="00000000" w14:paraId="574DCCCC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7339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2284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F12B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6164D54C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6918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ա) Անմիջապես դեպի դուրս ելքեր չունեցող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A366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5A3A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5F39873D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7C05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բ) Անմիջապես դեպի դուրս ելքերի առկայության դեպքում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9B8F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AD2E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2BFF80E6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6062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11.2. Վերգետնյա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6DB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2E60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13E23F55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0AFA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 Յուղանկուղներ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05B9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5636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632A2EB3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4514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 Պատրաստման սենքեր. ալյումինի փոշուց կախույթների, ռետինե սոսինձների, դյուրաբոցավառ և այրելի հիմքերով. լաքերի, ներկերի, սոսինձների, մածիկների, տոգորման բաղադրությունով. ներկման, սինթետիկ կաուչուկի պոլիմերացման, գազոտուրբինային շարժիչներով ճնշակասրահների, նավթի կրակային ջեռուցիչների սենքեր: Հեղուկ վառելանյութով աշխատող շարժիչներին շարժաբերով միացված գեներատորների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E1F5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5996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2D02784C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E6AA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 Բարձրավոլտ փորձարկումների սրահների սենքեր, այրելի նյութերով էկրանավորված սենքեր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EAE5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2E40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4FA5E340" w14:textId="77777777">
        <w:trPr>
          <w:divId w:val="19415980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DC55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 Այլ վարչական և հասարակական նշանակության սենքեր, այդ թվում կցակառուցված և ներկառուցված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86A4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11CA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2A0BF641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7F2D396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V*- Շենքերը և շինությունները ձեռքի կրակմարիչներով ապահովելու չափանիշները ներկայացված են ստորև ներկայացված աղյուսակներում.</w:t>
      </w:r>
    </w:p>
    <w:p w14:paraId="29ABEF45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1556"/>
        <w:gridCol w:w="878"/>
        <w:gridCol w:w="790"/>
        <w:gridCol w:w="1077"/>
        <w:gridCol w:w="363"/>
        <w:gridCol w:w="476"/>
        <w:gridCol w:w="476"/>
        <w:gridCol w:w="1135"/>
        <w:gridCol w:w="443"/>
        <w:gridCol w:w="590"/>
      </w:tblGrid>
      <w:tr w:rsidR="00000000" w14:paraId="507DECA3" w14:textId="77777777">
        <w:trPr>
          <w:divId w:val="194159804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6F25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D0B3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41B9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Պաշտ-</w:t>
            </w:r>
            <w:r>
              <w:rPr>
                <w:rFonts w:eastAsia="Times New Roman"/>
                <w:sz w:val="20"/>
                <w:szCs w:val="20"/>
              </w:rPr>
              <w:br/>
              <w:t>պանվող սահմա-</w:t>
            </w:r>
            <w:r>
              <w:rPr>
                <w:rFonts w:eastAsia="Times New Roman"/>
                <w:sz w:val="20"/>
                <w:szCs w:val="20"/>
              </w:rPr>
              <w:br/>
              <w:t>նային մակե-</w:t>
            </w:r>
            <w:r>
              <w:rPr>
                <w:rFonts w:eastAsia="Times New Roman"/>
                <w:sz w:val="20"/>
                <w:szCs w:val="20"/>
              </w:rPr>
              <w:br/>
              <w:t>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43FA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BFAC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Փրփրային և ջրային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10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FCAA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F45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Ֆրեոնային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2(3)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4076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000000" w14:paraId="4720751D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C15B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9C18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347A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03D5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EEA0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424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F9B1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CF18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BC3A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CD8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1088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5(8)</w:t>
            </w:r>
          </w:p>
        </w:tc>
      </w:tr>
      <w:tr w:rsidR="00000000" w14:paraId="0AF8CFC2" w14:textId="77777777">
        <w:trPr>
          <w:divId w:val="194159804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9A63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9525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7767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998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74F2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3855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F717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FA1E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2774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5C0C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11C5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716C91A1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708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B405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F4C7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5B14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E92C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2FAD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F179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9399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292F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C1FE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0168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55C77AFE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BB90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574B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C6FF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059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3FB7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263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6DE2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6403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A25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7BB5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B3BF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01E38F2F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6589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1451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3571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11D3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ABD9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8384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4B1C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4BD9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925D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D6B7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1981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332B37A0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8AAB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AAB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880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7D13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16B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C464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1E76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6C4F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FF9B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B0F1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D93C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000000" w14:paraId="59F36E5A" w14:textId="77777777">
        <w:trPr>
          <w:divId w:val="194159804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1B20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81D5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9BE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B502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EEAE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711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5129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80E3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7280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6932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7BF5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</w:tr>
      <w:tr w:rsidR="00000000" w14:paraId="405B8B97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D4A0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F19B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A23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24B7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5904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C1C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FE3E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6B41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79F6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B73C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69EE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2AA7CAA1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7011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286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FF6C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C302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0108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7B6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259E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0766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AF2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07C0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2F2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000000" w14:paraId="6B247BDB" w14:textId="77777777">
        <w:trPr>
          <w:divId w:val="194159804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5474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C188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5D38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1B74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030E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FC96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D7D7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1D41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1EB6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12DC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6173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7A4C6F12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05E3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B664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FAD3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45D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7181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3E0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C614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C482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8703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870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924F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4569E0D4" w14:textId="77777777">
        <w:trPr>
          <w:divId w:val="194159804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E071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2D97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CA6F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DD5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1E5A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459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37D3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8048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33D9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F5FD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C90C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5C66B68F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2FF0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DA8F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829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0EE4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22B6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6FF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D2FB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CA4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44E7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3EC5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FE5F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75036F43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666C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1266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9FB2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3FB0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3084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23F1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923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851C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5F4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8BEB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9C04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000000" w14:paraId="6CE4103E" w14:textId="77777777">
        <w:trPr>
          <w:divId w:val="194159804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052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C82E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69E8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B726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00A4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7C04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8464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BE9A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F94C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C038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FBBC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</w:tr>
      <w:tr w:rsidR="00000000" w14:paraId="1FEBA3E5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00F0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DB77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533D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29B7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4092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15D2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FEF4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C04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F71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6D73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864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</w:tbl>
    <w:p w14:paraId="2DFB47F5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C044B96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ամրագրված` տարբեր դասերի հրդեհների օջախների հրդեհաշիջման համար փոշային կրակմարիչները պետք է ունենան համապատասխան լիցքավորում, «A» դասի համար ABC(E) փոշի, «D» դասի համար` (D):</w:t>
      </w:r>
    </w:p>
    <w:p w14:paraId="6BD47B34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1875F31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515BCAD1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4980A2F8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66F8E546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75809ED2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փոշե, և ածխաթթվային կրակմարիչներով ապահովվում են համաձայն հետևյալ աղյուսակի.</w:t>
      </w:r>
    </w:p>
    <w:p w14:paraId="6259C9CF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5"/>
        <w:gridCol w:w="1331"/>
        <w:gridCol w:w="1437"/>
        <w:gridCol w:w="790"/>
        <w:gridCol w:w="1500"/>
        <w:gridCol w:w="983"/>
        <w:gridCol w:w="983"/>
        <w:gridCol w:w="517"/>
        <w:gridCol w:w="517"/>
      </w:tblGrid>
      <w:tr w:rsidR="00000000" w14:paraId="43CF7DB1" w14:textId="77777777">
        <w:trPr>
          <w:divId w:val="194159804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FFD3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1F9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AF5F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BC40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B0CB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Օդափրփրային կրակմարիչներ (փրփուր)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3A4B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Համ-</w:t>
            </w:r>
            <w:r>
              <w:rPr>
                <w:rFonts w:eastAsia="Times New Roman"/>
                <w:sz w:val="20"/>
                <w:szCs w:val="20"/>
              </w:rPr>
              <w:br/>
              <w:t>ակցված կրակ-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մարիչներ (փրփուր, փոշի) 100 լ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2F15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Փոշե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100 լ.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0C5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000000" w14:paraId="2EDF113F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5BD7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1CFE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2873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969C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AA36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B3FD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C24D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F40B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2DE8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000000" w14:paraId="13469489" w14:textId="77777777">
        <w:trPr>
          <w:divId w:val="194159804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5669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CA9D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Ա,Բ,Վ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D26F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C23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63C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D6A7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5FE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C067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1481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3E349603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D15E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CFE8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C635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B0D1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11B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B741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0D40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38D5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289F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64609B3D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BC8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8E24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5B3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232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2497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A3A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D62C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3ED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1B6D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610E0777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06F6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E2F5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9DDB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A89A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0691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AC5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01C1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3647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1301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1DDFA3DD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153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789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04F9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9C36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8EE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FE4C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8A08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232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AF25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1F2316EB" w14:textId="77777777">
        <w:trPr>
          <w:divId w:val="1941598040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E07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0741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16E4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0FD0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8B25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E8C8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2A1A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FDD0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07B9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6E1352CD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309F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2255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F67E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2C97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78FF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A668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CD9B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8CE4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EEF6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1CCA03A7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C83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0770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3B65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6FD2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B6B7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6459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9774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166B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F1DE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3602862D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AD9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41C8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7827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41E9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746A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E317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B6C1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DC9A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DE0B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00000" w14:paraId="353D30D6" w14:textId="77777777">
        <w:trPr>
          <w:divId w:val="19415980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240F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23A2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E243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02C5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2080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BE3F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658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F76B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A92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07874E19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լիցքավորում`</w:t>
      </w:r>
    </w:p>
    <w:p w14:paraId="6CCBCC14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6161018B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61850916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47BA77CB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79288AD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2B923E33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2468ECD7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6852C46D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4A467F03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D8361C5" w14:textId="77777777" w:rsidR="00000000" w:rsidRDefault="00000000">
      <w:pPr>
        <w:pStyle w:val="vhc"/>
        <w:divId w:val="1941598040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ՄԻՆՉԵՎ 200մ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ՄԱԿԵՐԵՍՈՎ ԱՐՏԱԴՐԱԿԱՆ ԿԱԶՄԱԿԵՐՊՈՒԹՅՈՒՆՆԵՐԻ ՍՏՈՒԳԱԹԵՐԹԻ</w:t>
      </w:r>
    </w:p>
    <w:p w14:paraId="044A8794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A3FF768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430324ED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նյութ.</w:t>
      </w:r>
    </w:p>
    <w:p w14:paraId="6AAC7143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2) դյուրավառ հեղուկ` բաց անոթում 61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C-ից ցածր բռնկման ջերմաստիճան ունեցող հեղուկ.</w:t>
      </w:r>
    </w:p>
    <w:p w14:paraId="7481F705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3) դյուրավառ փոշի` հեշտ այրվող, նպաստավոր պայմաններում պայթյունի հատկություն ունեցող փոշի.</w:t>
      </w:r>
    </w:p>
    <w:p w14:paraId="38EE794C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4) հակահրդեհային միջտարածություն` շինությունից դեպի հարևան շինություններ կրակի տարածումը կանխարգելելու նպատակով նախատեսված տարածություն.</w:t>
      </w:r>
    </w:p>
    <w:p w14:paraId="2FB02377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5) պայթյունահրդեհավտանգ` ջրի, օդի, թթվածնի կամ միմյանց հետ շփվելիս պայթելու և այրվելու ունակ նյութեր.</w:t>
      </w:r>
    </w:p>
    <w:p w14:paraId="134D5151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6) դյուրանետվող կոնստրուկցիաներ` ապակեպատ պատուհաններ և երդիկներ կամ պողպատե, ալյումինե և ասբոցեմենտի թերթերով և արդյունավետ ջերմապահպանիչներով ծածկեր:</w:t>
      </w:r>
    </w:p>
    <w:p w14:paraId="18355609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7) հրդեհաշիջման և հրդեհի ազդանշանման ինքնաշխատ կայանքներ (ՀՀԱԻԿ)` նախատեսված են հրդեհաշիջման և հրդեհի վայրի հայտնաբերման համար.</w:t>
      </w:r>
    </w:p>
    <w:p w14:paraId="5132674B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8) հրդեհի տագնապի ազդարարման ինքնաշխատ համակարգ (ՀՏԱԻՀ)` նախատեսված է հրդեհի տագնապի ազդարարման համար.</w:t>
      </w:r>
    </w:p>
    <w:p w14:paraId="15B181CA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9)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համար.</w:t>
      </w:r>
    </w:p>
    <w:p w14:paraId="55CCD82E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10) լիազոր մարմին` Հայաստանի Հանրապետության ներքին գործերի նախարարություն:</w:t>
      </w:r>
    </w:p>
    <w:p w14:paraId="2E8E4696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11) հրդեհաշիջման սկզբնական միջոցներ` կրակմարիչներ, արկղ ավազով, դույլ, բահ, կեռաձող, կացին.</w:t>
      </w:r>
    </w:p>
    <w:p w14:paraId="2336B539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12) հատուկ նշանակության սենքեր` դրամարկղային, արխիվային, պահեստային սենքեր:</w:t>
      </w:r>
    </w:p>
    <w:p w14:paraId="04D2FF30" w14:textId="77777777" w:rsidR="00000000" w:rsidRDefault="00000000">
      <w:pPr>
        <w:pStyle w:val="comm"/>
        <w:divId w:val="1941598040"/>
        <w:rPr>
          <w:sz w:val="15"/>
          <w:szCs w:val="15"/>
        </w:rPr>
      </w:pPr>
      <w:r>
        <w:rPr>
          <w:sz w:val="15"/>
          <w:szCs w:val="15"/>
        </w:rPr>
        <w:t>(13-րդ հավելվածը լրաց. 12.09.19 թիվ 1244-Ն, փոփ. 03.08.23 թիվ 1304-Ն, 18.01.24 թիվ 88-Ն որոշումներ)</w:t>
      </w:r>
    </w:p>
    <w:p w14:paraId="2D947FBF" w14:textId="77777777" w:rsidR="00000000" w:rsidRDefault="00000000">
      <w:pPr>
        <w:pStyle w:val="NormalWeb"/>
        <w:divId w:val="1941598040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4F59BC7" w14:textId="77777777" w:rsidR="00ED3C51" w:rsidRDefault="00ED3C51">
      <w:pPr>
        <w:divId w:val="1941598040"/>
      </w:pPr>
    </w:p>
    <w:sectPr w:rsidR="00ED3C51">
      <w:pgSz w:w="11909" w:h="16834"/>
      <w:pgMar w:top="562" w:right="562" w:bottom="864" w:left="112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0A"/>
    <w:rsid w:val="00B131FE"/>
    <w:rsid w:val="00ED3C51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AB785"/>
  <w15:chartTrackingRefBased/>
  <w15:docId w15:val="{5E66C475-F789-48FC-8ED6-72087398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pPr>
      <w:ind w:firstLine="450"/>
      <w:jc w:val="both"/>
    </w:pPr>
  </w:style>
  <w:style w:type="paragraph" w:customStyle="1" w:styleId="bc0h">
    <w:name w:val="bc0h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uiPriority w:val="99"/>
    <w:semiHidden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uiPriority w:val="99"/>
    <w:semiHidden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uiPriority w:val="99"/>
    <w:semiHidden/>
    <w:pPr>
      <w:ind w:left="450"/>
    </w:pPr>
  </w:style>
  <w:style w:type="paragraph" w:customStyle="1" w:styleId="bc7h">
    <w:name w:val="bc7h"/>
    <w:basedOn w:val="Normal"/>
    <w:uiPriority w:val="99"/>
    <w:semiHidden/>
    <w:pPr>
      <w:ind w:left="450"/>
    </w:pPr>
  </w:style>
  <w:style w:type="paragraph" w:customStyle="1" w:styleId="vht">
    <w:name w:val="vht"/>
    <w:basedOn w:val="Normal"/>
    <w:uiPriority w:val="99"/>
    <w:semiHidden/>
    <w:pPr>
      <w:ind w:left="450"/>
    </w:pPr>
  </w:style>
  <w:style w:type="paragraph" w:customStyle="1" w:styleId="comm">
    <w:name w:val="comm"/>
    <w:basedOn w:val="Normal"/>
    <w:uiPriority w:val="99"/>
    <w:semiHidden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uiPriority w:val="99"/>
    <w:semiHidden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uiPriority w:val="99"/>
    <w:semiHidden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uiPriority w:val="99"/>
    <w:semiHidden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uiPriority w:val="99"/>
    <w:semiHidden/>
    <w:rPr>
      <w:rFonts w:ascii="Arm Mono" w:hAnsi="Arm Mono"/>
      <w:sz w:val="20"/>
      <w:szCs w:val="20"/>
    </w:rPr>
  </w:style>
  <w:style w:type="paragraph" w:customStyle="1" w:styleId="dateinterval">
    <w:name w:val="dateinterval"/>
    <w:basedOn w:val="Normal"/>
    <w:uiPriority w:val="99"/>
    <w:semiHidden/>
    <w:pPr>
      <w:ind w:firstLine="450"/>
      <w:jc w:val="both"/>
    </w:pPr>
  </w:style>
  <w:style w:type="paragraph" w:customStyle="1" w:styleId="maxindex">
    <w:name w:val="maxindex"/>
    <w:basedOn w:val="Normal"/>
    <w:uiPriority w:val="99"/>
    <w:semiHidden/>
    <w:pPr>
      <w:ind w:firstLine="450"/>
      <w:jc w:val="both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59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3342</Words>
  <Characters>19055</Characters>
  <Application>Microsoft Office Word</Application>
  <DocSecurity>0</DocSecurity>
  <Lines>158</Lines>
  <Paragraphs>44</Paragraphs>
  <ScaleCrop>false</ScaleCrop>
  <Company/>
  <LinksUpToDate>false</LinksUpToDate>
  <CharactersWithSpaces>22353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2</cp:revision>
  <dcterms:created xsi:type="dcterms:W3CDTF">2024-06-11T07:47:00Z</dcterms:created>
  <dcterms:modified xsi:type="dcterms:W3CDTF">2024-06-11T07:47:00Z</dcterms:modified>
</cp:coreProperties>
</file>